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04AB6DE5"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F25D3E" w:rsidRPr="00F25D3E">
        <w:rPr>
          <w:rFonts w:eastAsia="Calibri" w:cs="Times New Roman"/>
          <w:b/>
          <w:bCs/>
          <w:color w:val="000000"/>
          <w:sz w:val="22"/>
          <w:szCs w:val="22"/>
        </w:rPr>
        <w:t>Psychology Nexus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1951414A"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F25D3E" w:rsidRPr="00F25D3E">
        <w:rPr>
          <w:rFonts w:eastAsia="Calibri" w:cs="Times New Roman"/>
          <w:b/>
          <w:bCs/>
          <w:color w:val="000000"/>
          <w:sz w:val="22"/>
          <w:szCs w:val="22"/>
        </w:rPr>
        <w:t>Psychology Nexus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0F5CA30A"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F25D3E" w:rsidRPr="00F25D3E">
        <w:rPr>
          <w:rFonts w:eastAsia="Calibri" w:cs="Times New Roman"/>
          <w:b/>
          <w:bCs/>
          <w:color w:val="000000"/>
          <w:sz w:val="22"/>
          <w:szCs w:val="22"/>
        </w:rPr>
        <w:t>Psychology Nexus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F25D3E" w:rsidRPr="00F25D3E">
        <w:rPr>
          <w:rFonts w:eastAsia="Calibri" w:cs="Times New Roman"/>
          <w:b/>
          <w:bCs/>
          <w:color w:val="000000"/>
          <w:sz w:val="22"/>
          <w:szCs w:val="22"/>
        </w:rPr>
        <w:t>Psychology Nexus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42B0B1EF"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F25D3E" w:rsidRPr="00F25D3E">
        <w:rPr>
          <w:rFonts w:eastAsia="Calibri" w:cs="Times New Roman"/>
          <w:b/>
          <w:bCs/>
          <w:color w:val="000000"/>
          <w:sz w:val="22"/>
          <w:szCs w:val="22"/>
        </w:rPr>
        <w:t>Psychology Nexus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3F47F22D" w14:textId="77777777" w:rsidR="00F25D3E" w:rsidRDefault="00F25D3E" w:rsidP="00070250">
      <w:pPr>
        <w:spacing w:after="200" w:line="360" w:lineRule="auto"/>
        <w:ind w:left="0"/>
        <w:rPr>
          <w:rFonts w:eastAsia="Calibri" w:cs="Times New Roman"/>
          <w:color w:val="000000"/>
          <w:sz w:val="22"/>
          <w:szCs w:val="22"/>
        </w:rPr>
      </w:pPr>
      <w:r w:rsidRPr="00F25D3E">
        <w:rPr>
          <w:rFonts w:eastAsia="Calibri" w:cs="Times New Roman"/>
          <w:color w:val="000000"/>
          <w:sz w:val="22"/>
          <w:szCs w:val="22"/>
        </w:rPr>
        <w:t>Psychology Nexus</w:t>
      </w:r>
    </w:p>
    <w:p w14:paraId="1BCC2056" w14:textId="53ED70A3"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F25D3E">
        <w:rPr>
          <w:rFonts w:asciiTheme="majorBidi" w:eastAsia="Times New Roman" w:hAnsiTheme="majorBidi"/>
          <w:color w:val="000000" w:themeColor="text1"/>
          <w:sz w:val="22"/>
          <w:szCs w:val="22"/>
        </w:rPr>
        <w:t>nex</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5E54B7A6"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F25D3E">
        <w:rPr>
          <w:rFonts w:asciiTheme="majorBidi" w:eastAsia="Times New Roman" w:hAnsiTheme="majorBidi"/>
          <w:color w:val="000000" w:themeColor="text1"/>
          <w:sz w:val="22"/>
          <w:szCs w:val="22"/>
        </w:rPr>
        <w:t>nex</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EA7A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2B4C" w14:textId="77777777" w:rsidR="00EA7A80" w:rsidRDefault="00EA7A80" w:rsidP="00AF4B9D">
      <w:pPr>
        <w:spacing w:after="0" w:line="240" w:lineRule="auto"/>
      </w:pPr>
      <w:r>
        <w:separator/>
      </w:r>
    </w:p>
  </w:endnote>
  <w:endnote w:type="continuationSeparator" w:id="0">
    <w:p w14:paraId="6961BA48" w14:textId="77777777" w:rsidR="00EA7A80" w:rsidRDefault="00EA7A80"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43F4" w14:textId="77777777" w:rsidR="00EA7A80" w:rsidRDefault="00EA7A80" w:rsidP="00AF4B9D">
      <w:pPr>
        <w:spacing w:after="0" w:line="240" w:lineRule="auto"/>
      </w:pPr>
      <w:r>
        <w:separator/>
      </w:r>
    </w:p>
  </w:footnote>
  <w:footnote w:type="continuationSeparator" w:id="0">
    <w:p w14:paraId="75A85302" w14:textId="77777777" w:rsidR="00EA7A80" w:rsidRDefault="00EA7A80"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A7A80"/>
    <w:rsid w:val="00EB1A00"/>
    <w:rsid w:val="00EB50E0"/>
    <w:rsid w:val="00EC3208"/>
    <w:rsid w:val="00ED547B"/>
    <w:rsid w:val="00EE1BA9"/>
    <w:rsid w:val="00EF7601"/>
    <w:rsid w:val="00F02528"/>
    <w:rsid w:val="00F05465"/>
    <w:rsid w:val="00F14D7B"/>
    <w:rsid w:val="00F21CD6"/>
    <w:rsid w:val="00F25D3E"/>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349</Words>
  <Characters>1906</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2024-07-02T09:37:00Z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